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335D74">
        <w:rPr>
          <w:sz w:val="44"/>
        </w:rPr>
        <w:t>P</w:t>
      </w:r>
      <w:r w:rsidR="004E6C23">
        <w:rPr>
          <w:sz w:val="44"/>
        </w:rPr>
        <w:t>icture dictation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797711">
        <w:rPr>
          <w:sz w:val="24"/>
        </w:rPr>
        <w:t>SLQUALED015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4E6C23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w:r w:rsidR="00610687">
              <w:rPr>
                <w:color w:val="17365D" w:themeColor="text2" w:themeShade="BF"/>
              </w:rPr>
              <w:t>5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Pr="00A65417" w:rsidRDefault="00271FF4" w:rsidP="00CA3759">
      <w:pPr>
        <w:pStyle w:val="Naslov"/>
        <w:pBdr>
          <w:bottom w:val="none" w:sz="0" w:space="0" w:color="auto"/>
        </w:pBdr>
        <w:rPr>
          <w:b/>
          <w:sz w:val="28"/>
          <w:szCs w:val="28"/>
        </w:rPr>
      </w:pPr>
      <w:r w:rsidRPr="00A65417">
        <w:rPr>
          <w:b/>
          <w:sz w:val="28"/>
          <w:szCs w:val="28"/>
        </w:rPr>
        <w:t>Purpose</w:t>
      </w:r>
      <w:r w:rsidR="00615923" w:rsidRPr="00A65417">
        <w:rPr>
          <w:b/>
          <w:sz w:val="28"/>
          <w:szCs w:val="28"/>
        </w:rPr>
        <w:t>:</w:t>
      </w:r>
    </w:p>
    <w:p w:rsidR="004E6C23" w:rsidRDefault="004E6C23" w:rsidP="004E6C23">
      <w:proofErr w:type="gramStart"/>
      <w:r>
        <w:t>Communication, dealing with association, enhancing imagina</w:t>
      </w:r>
      <w:r w:rsidR="00A65417">
        <w:t>tion and change of perspectives.</w:t>
      </w:r>
      <w:proofErr w:type="gramEnd"/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4E6C23" w:rsidRDefault="004E6C23" w:rsidP="004E6C23">
      <w:r>
        <w:t>Participants get paper and markers and they draw onto their paper what the selected person dictates:</w:t>
      </w:r>
    </w:p>
    <w:p w:rsidR="004E6C23" w:rsidRDefault="00A65417" w:rsidP="00A65417">
      <w:pPr>
        <w:pStyle w:val="Odstavekseznama"/>
        <w:numPr>
          <w:ilvl w:val="0"/>
          <w:numId w:val="22"/>
        </w:numPr>
      </w:pPr>
      <w:r>
        <w:t>r</w:t>
      </w:r>
      <w:r w:rsidR="004E6C23">
        <w:t>ectangle</w:t>
      </w:r>
    </w:p>
    <w:p w:rsidR="004E6C23" w:rsidRDefault="004E6C23" w:rsidP="00A65417">
      <w:pPr>
        <w:pStyle w:val="Odstavekseznama"/>
        <w:numPr>
          <w:ilvl w:val="0"/>
          <w:numId w:val="22"/>
        </w:numPr>
      </w:pPr>
      <w:r>
        <w:t>circle</w:t>
      </w:r>
    </w:p>
    <w:p w:rsidR="004E6C23" w:rsidRDefault="004E6C23" w:rsidP="00A65417">
      <w:pPr>
        <w:pStyle w:val="Odstavekseznama"/>
        <w:numPr>
          <w:ilvl w:val="0"/>
          <w:numId w:val="22"/>
        </w:numPr>
      </w:pPr>
      <w:r>
        <w:t>triangle</w:t>
      </w:r>
    </w:p>
    <w:p w:rsidR="004E6C23" w:rsidRDefault="004E6C23" w:rsidP="00A65417">
      <w:pPr>
        <w:pStyle w:val="Odstavekseznama"/>
        <w:numPr>
          <w:ilvl w:val="0"/>
          <w:numId w:val="22"/>
        </w:numPr>
      </w:pPr>
      <w:r>
        <w:t>diagonal line</w:t>
      </w:r>
    </w:p>
    <w:p w:rsidR="004E6C23" w:rsidRDefault="004E6C23" w:rsidP="00A65417">
      <w:pPr>
        <w:pStyle w:val="Odstavekseznama"/>
        <w:numPr>
          <w:ilvl w:val="0"/>
          <w:numId w:val="22"/>
        </w:numPr>
      </w:pPr>
      <w:r>
        <w:t>horizontal line</w:t>
      </w:r>
    </w:p>
    <w:p w:rsidR="004E6C23" w:rsidRDefault="004E6C23" w:rsidP="00A65417">
      <w:pPr>
        <w:pStyle w:val="Odstavekseznama"/>
        <w:numPr>
          <w:ilvl w:val="0"/>
          <w:numId w:val="22"/>
        </w:numPr>
      </w:pPr>
      <w:r>
        <w:t>dot</w:t>
      </w:r>
    </w:p>
    <w:p w:rsidR="004E6C23" w:rsidRDefault="004E6C23" w:rsidP="004E6C23">
      <w:proofErr w:type="gramStart"/>
      <w:r>
        <w:t>including</w:t>
      </w:r>
      <w:proofErr w:type="gramEnd"/>
      <w:r>
        <w:t xml:space="preserve"> the respective positioning (upper left, central, lower right, etc.)</w:t>
      </w:r>
    </w:p>
    <w:p w:rsidR="004E6C23" w:rsidRDefault="004E6C23" w:rsidP="004E6C23">
      <w:r>
        <w:t>The results should look like the original.</w:t>
      </w:r>
    </w:p>
    <w:p w:rsidR="008A4AC0" w:rsidRPr="00610687" w:rsidRDefault="00615923" w:rsidP="00610687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335D74" w:rsidRPr="00CA3759" w:rsidRDefault="004E6C23" w:rsidP="00AA7605">
      <w:pPr>
        <w:tabs>
          <w:tab w:val="left" w:pos="3189"/>
        </w:tabs>
      </w:pPr>
      <w:r>
        <w:t>Paper, colour</w:t>
      </w:r>
      <w:r w:rsidR="00335D74">
        <w:t xml:space="preserve"> markers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8955BB" w:rsidP="000115B0">
      <w:proofErr w:type="spellStart"/>
      <w:r>
        <w:t>Experiental</w:t>
      </w:r>
      <w:proofErr w:type="spellEnd"/>
      <w:r>
        <w:t xml:space="preserve"> learning 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A65417" w:rsidRDefault="00A65417" w:rsidP="00A65417">
      <w:r>
        <w:t>Participants are requested not to ask questions but simply put down on paper what they hear. This exercise serves as transition to the subject “communication barriers, loss of information, self- and others’ perception”.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A65417" w:rsidRDefault="00A65417" w:rsidP="00A65417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p w:rsidR="00A65417" w:rsidRDefault="00A65417" w:rsidP="00A65417"/>
    <w:p w:rsidR="00A65417" w:rsidRPr="000115B0" w:rsidRDefault="00A65417" w:rsidP="00A65417"/>
    <w:sectPr w:rsidR="00A65417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824" w:rsidRDefault="006C5824" w:rsidP="000D1CD3">
      <w:pPr>
        <w:spacing w:after="0" w:line="240" w:lineRule="auto"/>
      </w:pPr>
      <w:r>
        <w:separator/>
      </w:r>
    </w:p>
  </w:endnote>
  <w:endnote w:type="continuationSeparator" w:id="0">
    <w:p w:rsidR="006C5824" w:rsidRDefault="006C582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824" w:rsidRDefault="006C5824" w:rsidP="000D1CD3">
      <w:pPr>
        <w:spacing w:after="0" w:line="240" w:lineRule="auto"/>
      </w:pPr>
      <w:r>
        <w:separator/>
      </w:r>
    </w:p>
  </w:footnote>
  <w:footnote w:type="continuationSeparator" w:id="0">
    <w:p w:rsidR="006C5824" w:rsidRDefault="006C582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AD2E8F"/>
    <w:multiLevelType w:val="hybridMultilevel"/>
    <w:tmpl w:val="B6A204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13B6"/>
    <w:rsid w:val="0000279A"/>
    <w:rsid w:val="000115B0"/>
    <w:rsid w:val="00013780"/>
    <w:rsid w:val="000149C3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408C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2F5B56"/>
    <w:rsid w:val="0030616A"/>
    <w:rsid w:val="00320376"/>
    <w:rsid w:val="00332D28"/>
    <w:rsid w:val="00335D74"/>
    <w:rsid w:val="00350EBF"/>
    <w:rsid w:val="00365016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4E6C23"/>
    <w:rsid w:val="005015ED"/>
    <w:rsid w:val="00527449"/>
    <w:rsid w:val="00552140"/>
    <w:rsid w:val="00553EC2"/>
    <w:rsid w:val="00587A1A"/>
    <w:rsid w:val="005A3874"/>
    <w:rsid w:val="005D0E86"/>
    <w:rsid w:val="00605A2B"/>
    <w:rsid w:val="00610687"/>
    <w:rsid w:val="00615923"/>
    <w:rsid w:val="00627F55"/>
    <w:rsid w:val="00643766"/>
    <w:rsid w:val="0064630B"/>
    <w:rsid w:val="00663042"/>
    <w:rsid w:val="006727D4"/>
    <w:rsid w:val="0068586C"/>
    <w:rsid w:val="00685D10"/>
    <w:rsid w:val="00691BA8"/>
    <w:rsid w:val="006C5824"/>
    <w:rsid w:val="006D4867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97711"/>
    <w:rsid w:val="007A39AC"/>
    <w:rsid w:val="007A5362"/>
    <w:rsid w:val="007B008D"/>
    <w:rsid w:val="007B620B"/>
    <w:rsid w:val="0080051B"/>
    <w:rsid w:val="00812D28"/>
    <w:rsid w:val="008578F5"/>
    <w:rsid w:val="00866766"/>
    <w:rsid w:val="008841F3"/>
    <w:rsid w:val="00891571"/>
    <w:rsid w:val="008955BB"/>
    <w:rsid w:val="008A4AC0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65417"/>
    <w:rsid w:val="00AA7605"/>
    <w:rsid w:val="00AB1154"/>
    <w:rsid w:val="00AB74AB"/>
    <w:rsid w:val="00AC344D"/>
    <w:rsid w:val="00AF4D6B"/>
    <w:rsid w:val="00B10397"/>
    <w:rsid w:val="00B16F0F"/>
    <w:rsid w:val="00B21066"/>
    <w:rsid w:val="00B56F34"/>
    <w:rsid w:val="00B77B26"/>
    <w:rsid w:val="00B83669"/>
    <w:rsid w:val="00B91FAB"/>
    <w:rsid w:val="00BB1470"/>
    <w:rsid w:val="00BC1CFE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E2C18"/>
    <w:rsid w:val="00D11D47"/>
    <w:rsid w:val="00D22DBC"/>
    <w:rsid w:val="00D2497B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219C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BBA43-648E-43C3-B4BA-775D5B6D5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2014-12-13T14:21:00Z</dcterms:created>
  <dcterms:modified xsi:type="dcterms:W3CDTF">2014-12-13T14:21:00Z</dcterms:modified>
</cp:coreProperties>
</file>