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277" w:rsidRPr="00C00277" w:rsidRDefault="00C00277" w:rsidP="00C0027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Razmišljanje/opazovanje proti sočutju/empatiji 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Observation</w:t>
      </w:r>
      <w:proofErr w:type="spellEnd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vs</w:t>
      </w:r>
      <w:proofErr w:type="spellEnd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. </w:t>
      </w:r>
      <w:proofErr w:type="spellStart"/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Empathy</w:t>
      </w:r>
      <w:proofErr w:type="spellEnd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</w:p>
    <w:p w:rsidR="00C00277" w:rsidRPr="00C00277" w:rsidRDefault="00C00277" w:rsidP="00C00277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00277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SLINTEGRA015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C00277" w:rsidRPr="001363FF" w:rsidTr="00FF02B3">
        <w:tc>
          <w:tcPr>
            <w:tcW w:w="4253" w:type="dxa"/>
            <w:shd w:val="clear" w:color="auto" w:fill="9CD45E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C00277" w:rsidRPr="001363FF" w:rsidTr="00FF02B3">
        <w:tc>
          <w:tcPr>
            <w:tcW w:w="4253" w:type="dxa"/>
            <w:shd w:val="clear" w:color="auto" w:fill="D9D9D9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4.     Poklicna integriteta </w:t>
            </w:r>
          </w:p>
          <w:p w:rsidR="00C00277" w:rsidRPr="001363FF" w:rsidRDefault="001363FF" w:rsidP="001363FF">
            <w:pPr>
              <w:spacing w:after="0" w:line="240" w:lineRule="auto"/>
              <w:jc w:val="both"/>
              <w:rPr>
                <w:rFonts w:eastAsia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11.   </w:t>
            </w:r>
            <w:r w:rsidR="00C00277" w:rsidRPr="001363FF">
              <w:rPr>
                <w:rFonts w:eastAsia="Calibri" w:cs="Arial"/>
                <w:bCs/>
                <w:color w:val="17365D"/>
                <w:sz w:val="24"/>
                <w:szCs w:val="24"/>
                <w:lang w:val="sl-SI"/>
              </w:rPr>
              <w:t xml:space="preserve">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00277" w:rsidRPr="001363FF" w:rsidRDefault="00C00277" w:rsidP="001363FF">
            <w:pPr>
              <w:spacing w:after="0" w:line="240" w:lineRule="auto"/>
              <w:jc w:val="both"/>
              <w:rPr>
                <w:rFonts w:eastAsia="Calibri" w:cs="Arial"/>
                <w:color w:val="17365D"/>
                <w:sz w:val="24"/>
                <w:szCs w:val="24"/>
                <w:lang w:val="sl-SI"/>
              </w:rPr>
            </w:pPr>
            <w:r w:rsidRPr="001363FF">
              <w:rPr>
                <w:rFonts w:eastAsia="Calibri" w:cs="Arial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28"/>
          <w:szCs w:val="28"/>
          <w:lang w:val="sl-SI"/>
        </w:rPr>
      </w:pPr>
      <w:bookmarkStart w:id="0" w:name="_GoBack"/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Namen</w:t>
      </w:r>
      <w:bookmarkEnd w:id="0"/>
      <w:r w:rsidRPr="00CC1B3D">
        <w:rPr>
          <w:rFonts w:eastAsia="Times New Roman" w:cs="Times New Roman"/>
          <w:b/>
          <w:bCs/>
          <w:color w:val="17365D"/>
          <w:sz w:val="28"/>
          <w:szCs w:val="28"/>
          <w:lang w:val="sl-SI"/>
        </w:rPr>
        <w:t>:</w:t>
      </w:r>
    </w:p>
    <w:p w:rsidR="00C00277" w:rsidRPr="001363FF" w:rsidRDefault="00C00277" w:rsidP="001363FF">
      <w:pPr>
        <w:widowControl w:val="0"/>
        <w:numPr>
          <w:ilvl w:val="0"/>
          <w:numId w:val="22"/>
        </w:numPr>
        <w:suppressAutoHyphens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 xml:space="preserve">Prikazati/predstaviti osnovno razumevanje etične prakse v javnih ustanovah </w:t>
      </w:r>
    </w:p>
    <w:p w:rsidR="00C00277" w:rsidRPr="001363FF" w:rsidRDefault="00C00277" w:rsidP="001363FF">
      <w:pPr>
        <w:widowControl w:val="0"/>
        <w:numPr>
          <w:ilvl w:val="0"/>
          <w:numId w:val="22"/>
        </w:numPr>
        <w:suppressAutoHyphens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>Ra</w:t>
      </w:r>
      <w:r w:rsidR="001363FF" w:rsidRPr="001363FF">
        <w:rPr>
          <w:rFonts w:eastAsia="Calibri" w:cs="TimesNewRoman"/>
          <w:sz w:val="24"/>
          <w:szCs w:val="24"/>
          <w:lang w:val="sl-SI"/>
        </w:rPr>
        <w:t>zumeti pomembnost prinašanja r</w:t>
      </w:r>
      <w:r w:rsidRPr="001363FF">
        <w:rPr>
          <w:rFonts w:eastAsia="Calibri" w:cs="TimesNewRoman"/>
          <w:sz w:val="24"/>
          <w:szCs w:val="24"/>
          <w:lang w:val="sl-SI"/>
        </w:rPr>
        <w:t>azumevanja in zavedanja vseh komuniciranj na delovnem m</w:t>
      </w:r>
      <w:r w:rsidR="001363FF" w:rsidRPr="001363FF">
        <w:rPr>
          <w:rFonts w:eastAsia="Calibri" w:cs="TimesNewRoman"/>
          <w:sz w:val="24"/>
          <w:szCs w:val="24"/>
          <w:lang w:val="sl-SI"/>
        </w:rPr>
        <w:t>estu</w:t>
      </w:r>
      <w:r w:rsidRPr="001363FF">
        <w:rPr>
          <w:rFonts w:eastAsia="Calibri" w:cs="TimesNewRoman"/>
          <w:sz w:val="24"/>
          <w:szCs w:val="24"/>
          <w:lang w:val="sl-SI"/>
        </w:rPr>
        <w:t xml:space="preserve"> 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Opis:</w:t>
      </w:r>
    </w:p>
    <w:p w:rsidR="001363FF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>Vaja potrebuje vsaj tri ljudi ali skupine po tri osebe. Poimenujte osebe A, B, in C. Oseba C je opazovalec, medtem ko oseba A pripoveduje nekaj o svojem življenju osebi B. Oseba A n</w:t>
      </w:r>
      <w:r w:rsidR="001363FF" w:rsidRPr="001363FF">
        <w:rPr>
          <w:rFonts w:eastAsia="Calibri" w:cs="Arial"/>
          <w:sz w:val="24"/>
          <w:szCs w:val="24"/>
          <w:lang w:val="sl-SI"/>
        </w:rPr>
        <w:t>aj govori o čem, ki je zanimivo</w:t>
      </w:r>
      <w:r w:rsidRPr="001363FF">
        <w:rPr>
          <w:rFonts w:eastAsia="Calibri" w:cs="Arial"/>
          <w:sz w:val="24"/>
          <w:szCs w:val="24"/>
          <w:lang w:val="sl-SI"/>
        </w:rPr>
        <w:t xml:space="preserve">. Oseba B posluša,oseba A je v središču.  Oseba C skrbno opazuje(osebo A) in posveča pozornost verbalni, kot tudi, neverbalni komunikaciji. Po treh minutah, oseba A in oseba C zamenjata položaje in oseba C ponovi zgodbo, kot oseba A. Medtem poskuša oponašati verbalno in neverbalno komunikacijo osebe A. </w:t>
      </w:r>
    </w:p>
    <w:p w:rsidR="00C00277" w:rsidRPr="001363FF" w:rsidRDefault="001363FF" w:rsidP="001363FF">
      <w:pPr>
        <w:jc w:val="both"/>
        <w:rPr>
          <w:rFonts w:eastAsia="Calibri" w:cs="Arial"/>
          <w:b/>
          <w:bCs/>
          <w:color w:val="FF0000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Osebe menjajo položaje, tako da oseba A opazuje in oseba B </w:t>
      </w:r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engages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similarly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to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first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telling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of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the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>story</w:t>
      </w:r>
      <w:proofErr w:type="spellEnd"/>
      <w:r w:rsidRPr="001363FF">
        <w:rPr>
          <w:rFonts w:eastAsia="Calibri" w:cs="Arial"/>
          <w:b/>
          <w:bCs/>
          <w:color w:val="FF0000"/>
          <w:sz w:val="24"/>
          <w:szCs w:val="24"/>
          <w:lang w:val="sl-SI"/>
        </w:rPr>
        <w:t xml:space="preserve">.  </w:t>
      </w:r>
      <w:r w:rsidRPr="001363FF">
        <w:rPr>
          <w:rFonts w:eastAsia="Calibri" w:cs="Arial"/>
          <w:sz w:val="24"/>
          <w:szCs w:val="24"/>
          <w:lang w:val="sl-SI"/>
        </w:rPr>
        <w:t xml:space="preserve">Po 3 minutah naj osebe prenehajo in se pogovorijo kaj se je zgodilo, kaj so se naučile, kaj in kako so koga razumele. </w:t>
      </w:r>
    </w:p>
    <w:p w:rsidR="00C00277" w:rsidRPr="001363FF" w:rsidRDefault="001363FF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Osebe naj </w:t>
      </w:r>
      <w:r w:rsidR="00C00277" w:rsidRPr="001363FF">
        <w:rPr>
          <w:rFonts w:eastAsia="Calibri" w:cs="Arial"/>
          <w:sz w:val="24"/>
          <w:szCs w:val="24"/>
          <w:lang w:val="sl-SI"/>
        </w:rPr>
        <w:t xml:space="preserve"> trikrat zamenjale položaje, zato da vsak odigra vse vloge. </w:t>
      </w:r>
    </w:p>
    <w:p w:rsidR="00C00277" w:rsidRPr="001363FF" w:rsidRDefault="00C00277" w:rsidP="001363FF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sz w:val="24"/>
          <w:szCs w:val="24"/>
          <w:lang w:val="sl-SI"/>
        </w:rPr>
      </w:pPr>
    </w:p>
    <w:p w:rsidR="00C00277" w:rsidRPr="001363FF" w:rsidRDefault="00C00277" w:rsidP="001363FF">
      <w:pPr>
        <w:autoSpaceDE w:val="0"/>
        <w:autoSpaceDN w:val="0"/>
        <w:adjustRightInd w:val="0"/>
        <w:ind w:left="720"/>
        <w:contextualSpacing/>
        <w:jc w:val="both"/>
        <w:rPr>
          <w:rFonts w:eastAsia="Calibri" w:cs="TimesNewRoman"/>
          <w:b/>
          <w:sz w:val="24"/>
          <w:szCs w:val="24"/>
          <w:lang w:val="sl-SI"/>
        </w:rPr>
      </w:pPr>
      <w:r w:rsidRPr="001363FF">
        <w:rPr>
          <w:rFonts w:eastAsia="Calibri" w:cs="TimesNewRoman"/>
          <w:b/>
          <w:sz w:val="24"/>
          <w:szCs w:val="24"/>
          <w:lang w:val="sl-SI"/>
        </w:rPr>
        <w:t xml:space="preserve">Zaključek: </w:t>
      </w:r>
    </w:p>
    <w:p w:rsidR="00C00277" w:rsidRPr="001363FF" w:rsidRDefault="00C00277" w:rsidP="001363FF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 xml:space="preserve">Končajte z zaključkom – ''kaj smo se danes naučili?'' </w:t>
      </w:r>
    </w:p>
    <w:p w:rsidR="00C00277" w:rsidRPr="001363FF" w:rsidRDefault="00C00277" w:rsidP="001363FF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>Vprašajte</w:t>
      </w:r>
      <w:r w:rsidR="00CC1B3D">
        <w:rPr>
          <w:rFonts w:eastAsia="Calibri" w:cs="TimesNewRoman"/>
          <w:sz w:val="24"/>
          <w:szCs w:val="24"/>
          <w:lang w:val="sl-SI"/>
        </w:rPr>
        <w:t xml:space="preserve"> vsakega udeleženca za </w:t>
      </w:r>
      <w:proofErr w:type="spellStart"/>
      <w:r w:rsidR="00CC1B3D">
        <w:rPr>
          <w:rFonts w:eastAsia="Calibri" w:cs="TimesNewRoman"/>
          <w:sz w:val="24"/>
          <w:szCs w:val="24"/>
          <w:lang w:val="sl-SI"/>
        </w:rPr>
        <w:t>feedback</w:t>
      </w:r>
      <w:proofErr w:type="spellEnd"/>
      <w:r w:rsidR="00CC1B3D">
        <w:rPr>
          <w:rFonts w:eastAsia="Calibri" w:cs="TimesNewRoman"/>
          <w:sz w:val="24"/>
          <w:szCs w:val="24"/>
          <w:lang w:val="sl-SI"/>
        </w:rPr>
        <w:t>.</w:t>
      </w:r>
    </w:p>
    <w:p w:rsidR="00C00277" w:rsidRPr="001363FF" w:rsidRDefault="00C00277" w:rsidP="00CC1B3D">
      <w:pPr>
        <w:numPr>
          <w:ilvl w:val="0"/>
          <w:numId w:val="23"/>
        </w:numPr>
        <w:autoSpaceDE w:val="0"/>
        <w:autoSpaceDN w:val="0"/>
        <w:adjustRightInd w:val="0"/>
        <w:spacing w:after="0"/>
        <w:contextualSpacing/>
        <w:jc w:val="both"/>
        <w:rPr>
          <w:rFonts w:eastAsia="Calibri" w:cs="TimesNewRoman"/>
          <w:sz w:val="24"/>
          <w:szCs w:val="24"/>
          <w:lang w:val="sl-SI"/>
        </w:rPr>
      </w:pPr>
      <w:r w:rsidRPr="001363FF">
        <w:rPr>
          <w:rFonts w:eastAsia="Calibri" w:cs="TimesNewRoman"/>
          <w:sz w:val="24"/>
          <w:szCs w:val="24"/>
          <w:lang w:val="sl-SI"/>
        </w:rPr>
        <w:t>Kon</w:t>
      </w:r>
      <w:r w:rsidR="00CC1B3D">
        <w:rPr>
          <w:rFonts w:eastAsia="Calibri" w:cs="TimesNewRoman"/>
          <w:sz w:val="24"/>
          <w:szCs w:val="24"/>
          <w:lang w:val="sl-SI"/>
        </w:rPr>
        <w:t>čajte uro s pozitivnim odnosom.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lastRenderedPageBreak/>
        <w:t>Pripomočki/Material:/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C00277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>Igranje vlog, razprava/diskusija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1363FF" w:rsidRPr="001363FF" w:rsidRDefault="001363FF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Pogovorite se z udeleženci in jim pomagajte pri povzemanju česa so se naučili skozi vajo. Pogovorite se o tem kako lahko pridobljene informacije uporabijo in s tem izboljšajo interakcije. </w:t>
      </w:r>
    </w:p>
    <w:p w:rsidR="001363FF" w:rsidRPr="001363FF" w:rsidRDefault="001363FF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>Pred priprava je potrebna. Pomembno je imeti veščine in znanja iz področja skupinske dinamike.</w:t>
      </w:r>
    </w:p>
    <w:p w:rsidR="00C00277" w:rsidRPr="00CC1B3D" w:rsidRDefault="00C00277" w:rsidP="001363FF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</w:pPr>
      <w:r w:rsidRPr="00CC1B3D">
        <w:rPr>
          <w:rFonts w:eastAsia="Times New Roman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C00277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Prilagojeno iz Social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and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Emotional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Intelligence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. Hughes, Thompson,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Terrel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. 2009.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Pfeiffer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>: San Francisco.</w:t>
      </w:r>
    </w:p>
    <w:p w:rsidR="00C00277" w:rsidRPr="001363FF" w:rsidRDefault="00C00277" w:rsidP="001363FF">
      <w:pPr>
        <w:jc w:val="both"/>
        <w:rPr>
          <w:rFonts w:eastAsia="Calibri" w:cs="Arial"/>
          <w:sz w:val="24"/>
          <w:szCs w:val="24"/>
          <w:lang w:val="sl-SI"/>
        </w:rPr>
      </w:pPr>
      <w:r w:rsidRPr="001363FF">
        <w:rPr>
          <w:rFonts w:eastAsia="Calibri" w:cs="Arial"/>
          <w:sz w:val="24"/>
          <w:szCs w:val="24"/>
          <w:lang w:val="sl-SI"/>
        </w:rPr>
        <w:t xml:space="preserve">Sodelavec (partner):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Integra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Institute (Sonja Bercko,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psychosinthesis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th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.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and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 xml:space="preserve"> NLP spec. </w:t>
      </w:r>
      <w:proofErr w:type="spellStart"/>
      <w:r w:rsidRPr="001363FF">
        <w:rPr>
          <w:rFonts w:eastAsia="Calibri" w:cs="Arial"/>
          <w:sz w:val="24"/>
          <w:szCs w:val="24"/>
          <w:lang w:val="sl-SI"/>
        </w:rPr>
        <w:t>practitioner</w:t>
      </w:r>
      <w:proofErr w:type="spellEnd"/>
      <w:r w:rsidRPr="001363FF">
        <w:rPr>
          <w:rFonts w:eastAsia="Calibri" w:cs="Arial"/>
          <w:sz w:val="24"/>
          <w:szCs w:val="24"/>
          <w:lang w:val="sl-SI"/>
        </w:rPr>
        <w:t>)</w:t>
      </w:r>
    </w:p>
    <w:p w:rsidR="00CC1B3D" w:rsidRDefault="00CC1B3D" w:rsidP="00C00277">
      <w:pPr>
        <w:rPr>
          <w:rFonts w:ascii="Calibri" w:eastAsia="Calibri" w:hAnsi="Calibri" w:cs="Arial"/>
          <w:b/>
          <w:bCs/>
          <w:color w:val="17365D"/>
          <w:sz w:val="28"/>
          <w:szCs w:val="28"/>
          <w:lang w:val="sl-SI"/>
        </w:rPr>
      </w:pPr>
    </w:p>
    <w:p w:rsidR="00C30713" w:rsidRPr="00C00277" w:rsidRDefault="00C00277" w:rsidP="00C00277">
      <w:pPr>
        <w:rPr>
          <w:b/>
          <w:bCs/>
          <w:sz w:val="28"/>
          <w:szCs w:val="28"/>
        </w:rPr>
      </w:pPr>
      <w:r w:rsidRPr="00C00277">
        <w:rPr>
          <w:rFonts w:ascii="Calibri" w:eastAsia="Calibri" w:hAnsi="Calibri" w:cs="Arial"/>
          <w:b/>
          <w:bCs/>
          <w:color w:val="17365D"/>
          <w:sz w:val="28"/>
          <w:szCs w:val="28"/>
          <w:lang w:val="sl-SI"/>
        </w:rPr>
        <w:t>Izročki/Učni list:</w:t>
      </w:r>
    </w:p>
    <w:sectPr w:rsidR="00C30713" w:rsidRPr="00C0027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1A1" w:rsidRDefault="00BA51A1" w:rsidP="000D1CD3">
      <w:pPr>
        <w:spacing w:after="0" w:line="240" w:lineRule="auto"/>
      </w:pPr>
      <w:r>
        <w:separator/>
      </w:r>
    </w:p>
  </w:endnote>
  <w:endnote w:type="continuationSeparator" w:id="0">
    <w:p w:rsidR="00BA51A1" w:rsidRDefault="00BA51A1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1A1" w:rsidRDefault="00BA51A1" w:rsidP="000D1CD3">
      <w:pPr>
        <w:spacing w:after="0" w:line="240" w:lineRule="auto"/>
      </w:pPr>
      <w:r>
        <w:separator/>
      </w:r>
    </w:p>
  </w:footnote>
  <w:footnote w:type="continuationSeparator" w:id="0">
    <w:p w:rsidR="00BA51A1" w:rsidRDefault="00BA51A1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F638C"/>
    <w:multiLevelType w:val="hybridMultilevel"/>
    <w:tmpl w:val="08A0296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3142C"/>
    <w:multiLevelType w:val="hybridMultilevel"/>
    <w:tmpl w:val="04DA9512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6"/>
  </w:num>
  <w:num w:numId="14">
    <w:abstractNumId w:val="20"/>
  </w:num>
  <w:num w:numId="15">
    <w:abstractNumId w:val="8"/>
  </w:num>
  <w:num w:numId="16">
    <w:abstractNumId w:val="18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1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363FF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9739C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4E4BBE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A51A1"/>
    <w:rsid w:val="00BB1470"/>
    <w:rsid w:val="00BC1CFE"/>
    <w:rsid w:val="00BF1281"/>
    <w:rsid w:val="00C00277"/>
    <w:rsid w:val="00C30713"/>
    <w:rsid w:val="00C63C35"/>
    <w:rsid w:val="00C70780"/>
    <w:rsid w:val="00CB3C0A"/>
    <w:rsid w:val="00CB5669"/>
    <w:rsid w:val="00CC060C"/>
    <w:rsid w:val="00CC1B3D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2E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AA916-B282-4FBA-A4FD-8EB0DBF6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2015-01-07T16:59:00Z</dcterms:created>
  <dcterms:modified xsi:type="dcterms:W3CDTF">2015-01-07T16:59:00Z</dcterms:modified>
</cp:coreProperties>
</file>